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1262"/>
        <w:gridCol w:w="1202"/>
        <w:gridCol w:w="2404"/>
        <w:gridCol w:w="60"/>
        <w:gridCol w:w="2417"/>
        <w:gridCol w:w="1170"/>
      </w:tblGrid>
      <w:tr w:rsidR="001C0E39" w:rsidRPr="007C14CB" w:rsidTr="0007311F">
        <w:trPr>
          <w:trHeight w:val="227"/>
        </w:trPr>
        <w:tc>
          <w:tcPr>
            <w:tcW w:w="3727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b/>
                <w:sz w:val="22"/>
                <w:lang w:val="sr-Cyrl-CS" w:eastAsia="sr-Latn-CS"/>
              </w:rPr>
              <w:t>Име и презиме</w:t>
            </w:r>
          </w:p>
        </w:tc>
        <w:tc>
          <w:tcPr>
            <w:tcW w:w="7253" w:type="dxa"/>
            <w:gridSpan w:val="5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sz w:val="22"/>
                <w:lang w:val="sr-Cyrl-CS" w:eastAsia="sr-Latn-CS"/>
              </w:rPr>
            </w:pPr>
            <w:bookmarkStart w:id="0" w:name="_Toc431806220"/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Радмила Б. Миловановић</w:t>
            </w:r>
            <w:bookmarkEnd w:id="0"/>
          </w:p>
        </w:tc>
      </w:tr>
      <w:tr w:rsidR="001C0E39" w:rsidRPr="007C14CB" w:rsidTr="0007311F">
        <w:trPr>
          <w:trHeight w:val="227"/>
        </w:trPr>
        <w:tc>
          <w:tcPr>
            <w:tcW w:w="3727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b/>
                <w:sz w:val="22"/>
                <w:lang w:val="sr-Cyrl-CS" w:eastAsia="sr-Latn-CS"/>
              </w:rPr>
              <w:t>Звање</w:t>
            </w:r>
          </w:p>
        </w:tc>
        <w:tc>
          <w:tcPr>
            <w:tcW w:w="7253" w:type="dxa"/>
            <w:gridSpan w:val="5"/>
            <w:vAlign w:val="center"/>
          </w:tcPr>
          <w:p w:rsidR="001C0E39" w:rsidRPr="007C14CB" w:rsidRDefault="009E651E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>
              <w:rPr>
                <w:rFonts w:eastAsia="Calibri" w:cs="Times New Roman"/>
                <w:sz w:val="22"/>
                <w:lang w:val="sr-Cyrl-CS" w:eastAsia="sr-Latn-CS"/>
              </w:rPr>
              <w:t>Редовни</w:t>
            </w:r>
            <w:r w:rsidR="001C0E39"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 професор</w:t>
            </w:r>
          </w:p>
        </w:tc>
      </w:tr>
      <w:tr w:rsidR="001C0E39" w:rsidRPr="007C14CB" w:rsidTr="0007311F">
        <w:trPr>
          <w:trHeight w:val="227"/>
        </w:trPr>
        <w:tc>
          <w:tcPr>
            <w:tcW w:w="3727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b/>
                <w:sz w:val="22"/>
                <w:lang w:val="sr-Cyrl-CS" w:eastAsia="sr-Latn-CS"/>
              </w:rPr>
              <w:t>Ужа научна област</w:t>
            </w:r>
          </w:p>
        </w:tc>
        <w:tc>
          <w:tcPr>
            <w:tcW w:w="7253" w:type="dxa"/>
            <w:gridSpan w:val="5"/>
            <w:vAlign w:val="center"/>
          </w:tcPr>
          <w:p w:rsidR="001C0E39" w:rsidRPr="007C14CB" w:rsidRDefault="00E0116F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>
              <w:rPr>
                <w:rFonts w:eastAsia="Calibri" w:cs="Times New Roman"/>
                <w:sz w:val="22"/>
                <w:lang w:val="sr-Cyrl-CS" w:eastAsia="sr-Latn-CS"/>
              </w:rPr>
              <w:t>Психологија у васпитно-образовном раду</w:t>
            </w:r>
          </w:p>
        </w:tc>
      </w:tr>
      <w:tr w:rsidR="001C0E39" w:rsidRPr="007C14CB" w:rsidTr="0007311F">
        <w:trPr>
          <w:trHeight w:val="227"/>
        </w:trPr>
        <w:tc>
          <w:tcPr>
            <w:tcW w:w="2465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b/>
                <w:sz w:val="22"/>
                <w:lang w:val="sr-Cyrl-CS" w:eastAsia="sr-Latn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Година </w:t>
            </w:r>
          </w:p>
        </w:tc>
        <w:tc>
          <w:tcPr>
            <w:tcW w:w="3666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Институција </w:t>
            </w:r>
          </w:p>
        </w:tc>
        <w:tc>
          <w:tcPr>
            <w:tcW w:w="3587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Област </w:t>
            </w:r>
          </w:p>
        </w:tc>
      </w:tr>
      <w:tr w:rsidR="001C0E39" w:rsidRPr="007C14CB" w:rsidTr="0007311F">
        <w:trPr>
          <w:trHeight w:val="227"/>
        </w:trPr>
        <w:tc>
          <w:tcPr>
            <w:tcW w:w="2465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1C0E39" w:rsidRPr="007C14CB" w:rsidRDefault="001E311C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>
              <w:rPr>
                <w:rFonts w:eastAsia="Calibri" w:cs="Times New Roman"/>
                <w:sz w:val="22"/>
                <w:lang w:val="sr-Cyrl-CS" w:eastAsia="sr-Latn-CS"/>
              </w:rPr>
              <w:t>2019</w:t>
            </w:r>
            <w:r w:rsidR="001C0E39" w:rsidRPr="007C14CB">
              <w:rPr>
                <w:rFonts w:eastAsia="Calibri" w:cs="Times New Roman"/>
                <w:sz w:val="22"/>
                <w:lang w:val="sr-Cyrl-CS" w:eastAsia="sr-Latn-CS"/>
              </w:rPr>
              <w:t>.</w:t>
            </w:r>
          </w:p>
        </w:tc>
        <w:tc>
          <w:tcPr>
            <w:tcW w:w="3666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Факултет педагошких наука Јагодина</w:t>
            </w:r>
          </w:p>
        </w:tc>
        <w:tc>
          <w:tcPr>
            <w:tcW w:w="3587" w:type="dxa"/>
            <w:gridSpan w:val="2"/>
            <w:vAlign w:val="center"/>
          </w:tcPr>
          <w:p w:rsidR="001C0E39" w:rsidRPr="007C14CB" w:rsidRDefault="009B7F2B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>
              <w:rPr>
                <w:rFonts w:eastAsia="Calibri" w:cs="Times New Roman"/>
                <w:sz w:val="22"/>
                <w:lang w:val="sr-Cyrl-CS" w:eastAsia="sr-Latn-CS"/>
              </w:rPr>
              <w:t>Психолошке науке</w:t>
            </w:r>
            <w:bookmarkStart w:id="1" w:name="_GoBack"/>
            <w:bookmarkEnd w:id="1"/>
          </w:p>
        </w:tc>
      </w:tr>
      <w:tr w:rsidR="001C0E39" w:rsidRPr="007C14CB" w:rsidTr="0007311F">
        <w:trPr>
          <w:trHeight w:val="227"/>
        </w:trPr>
        <w:tc>
          <w:tcPr>
            <w:tcW w:w="2465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2002.</w:t>
            </w:r>
          </w:p>
        </w:tc>
        <w:tc>
          <w:tcPr>
            <w:tcW w:w="3666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Медицински факултет, Београд</w:t>
            </w:r>
          </w:p>
        </w:tc>
        <w:tc>
          <w:tcPr>
            <w:tcW w:w="3587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Неуропсихологија</w:t>
            </w:r>
          </w:p>
        </w:tc>
      </w:tr>
      <w:tr w:rsidR="001C0E39" w:rsidRPr="007C14CB" w:rsidTr="0007311F">
        <w:trPr>
          <w:trHeight w:val="227"/>
        </w:trPr>
        <w:tc>
          <w:tcPr>
            <w:tcW w:w="2465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1977.</w:t>
            </w:r>
          </w:p>
        </w:tc>
        <w:tc>
          <w:tcPr>
            <w:tcW w:w="3666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Филозофски факултет</w:t>
            </w:r>
          </w:p>
        </w:tc>
        <w:tc>
          <w:tcPr>
            <w:tcW w:w="3587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Психологија</w:t>
            </w:r>
          </w:p>
        </w:tc>
      </w:tr>
      <w:tr w:rsidR="001C0E39" w:rsidRPr="007C14CB" w:rsidTr="0007311F">
        <w:trPr>
          <w:trHeight w:val="227"/>
        </w:trPr>
        <w:tc>
          <w:tcPr>
            <w:tcW w:w="10980" w:type="dxa"/>
            <w:gridSpan w:val="9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b/>
                <w:sz w:val="22"/>
                <w:lang w:val="sr-Cyrl-CS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1C0E39" w:rsidRPr="007C14CB" w:rsidTr="0007311F">
        <w:trPr>
          <w:trHeight w:val="227"/>
        </w:trPr>
        <w:tc>
          <w:tcPr>
            <w:tcW w:w="922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iCs/>
                <w:sz w:val="22"/>
                <w:lang w:val="sr-Cyrl-CS" w:eastAsia="sr-Latn-CS"/>
              </w:rPr>
              <w:t>Назив предмета</w:t>
            </w:r>
          </w:p>
        </w:tc>
        <w:tc>
          <w:tcPr>
            <w:tcW w:w="3647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Врста студија</w:t>
            </w:r>
          </w:p>
        </w:tc>
      </w:tr>
      <w:tr w:rsidR="001C0E39" w:rsidRPr="007C14CB" w:rsidTr="0007311F">
        <w:trPr>
          <w:trHeight w:val="227"/>
        </w:trPr>
        <w:tc>
          <w:tcPr>
            <w:tcW w:w="922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1.</w:t>
            </w:r>
          </w:p>
        </w:tc>
        <w:tc>
          <w:tcPr>
            <w:tcW w:w="641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Интеракција и комуникација у васпитном раду</w:t>
            </w:r>
          </w:p>
        </w:tc>
        <w:tc>
          <w:tcPr>
            <w:tcW w:w="3647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ОАС</w:t>
            </w:r>
          </w:p>
        </w:tc>
      </w:tr>
      <w:tr w:rsidR="001C0E39" w:rsidRPr="007C14CB" w:rsidTr="0007311F">
        <w:trPr>
          <w:trHeight w:val="227"/>
        </w:trPr>
        <w:tc>
          <w:tcPr>
            <w:tcW w:w="922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2.</w:t>
            </w:r>
          </w:p>
        </w:tc>
        <w:tc>
          <w:tcPr>
            <w:tcW w:w="641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Психологија менталног здравља</w:t>
            </w:r>
          </w:p>
        </w:tc>
        <w:tc>
          <w:tcPr>
            <w:tcW w:w="3647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ОАС</w:t>
            </w:r>
          </w:p>
        </w:tc>
      </w:tr>
      <w:tr w:rsidR="001C0E39" w:rsidRPr="007C14CB" w:rsidTr="0007311F">
        <w:trPr>
          <w:trHeight w:val="227"/>
        </w:trPr>
        <w:tc>
          <w:tcPr>
            <w:tcW w:w="922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3.</w:t>
            </w:r>
          </w:p>
        </w:tc>
        <w:tc>
          <w:tcPr>
            <w:tcW w:w="641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Психологија комуникације</w:t>
            </w:r>
          </w:p>
        </w:tc>
        <w:tc>
          <w:tcPr>
            <w:tcW w:w="3647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МАС</w:t>
            </w:r>
          </w:p>
        </w:tc>
      </w:tr>
      <w:tr w:rsidR="001C0E39" w:rsidRPr="007C14CB" w:rsidTr="0007311F">
        <w:trPr>
          <w:trHeight w:val="227"/>
        </w:trPr>
        <w:tc>
          <w:tcPr>
            <w:tcW w:w="922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4.</w:t>
            </w:r>
          </w:p>
        </w:tc>
        <w:tc>
          <w:tcPr>
            <w:tcW w:w="641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Одлике група и међугрупних односа</w:t>
            </w:r>
          </w:p>
        </w:tc>
        <w:tc>
          <w:tcPr>
            <w:tcW w:w="3647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МАС</w:t>
            </w:r>
          </w:p>
        </w:tc>
      </w:tr>
      <w:tr w:rsidR="001C0E39" w:rsidRPr="007C14CB" w:rsidTr="0007311F">
        <w:trPr>
          <w:trHeight w:val="227"/>
        </w:trPr>
        <w:tc>
          <w:tcPr>
            <w:tcW w:w="10980" w:type="dxa"/>
            <w:gridSpan w:val="9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Најзначајнији радови </w:t>
            </w:r>
            <w:r w:rsidRPr="007C14CB">
              <w:rPr>
                <w:rFonts w:eastAsia="Calibri" w:cs="Times New Roman"/>
                <w:b/>
                <w:sz w:val="22"/>
                <w:lang w:val="sr-Cyrl-CS" w:eastAsia="sr-Latn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1C0E39" w:rsidRPr="007C14CB" w:rsidTr="0007311F">
        <w:trPr>
          <w:trHeight w:val="499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1.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highlight w:val="red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Миловановић, Р.</w:t>
            </w:r>
            <w:r w:rsidRPr="007C14CB">
              <w:rPr>
                <w:rFonts w:eastAsia="Calibri" w:cs="Times New Roman"/>
                <w:sz w:val="22"/>
                <w:lang w:val="ru-RU" w:eastAsia="sr-Latn-CS"/>
              </w:rPr>
              <w:t xml:space="preserve"> (2012). </w:t>
            </w: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Социјалне компетенције кандидата за педагошки факултет.</w:t>
            </w:r>
            <w:r w:rsidRPr="007C14CB">
              <w:rPr>
                <w:rFonts w:eastAsia="Calibri" w:cs="Times New Roman"/>
                <w:i/>
                <w:sz w:val="22"/>
                <w:lang w:val="sr-Cyrl-CS" w:eastAsia="sr-Latn-CS"/>
              </w:rPr>
              <w:t>Настава и васпитање</w:t>
            </w: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,год, 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LXI</w:t>
            </w:r>
            <w:r w:rsidRPr="007C14CB">
              <w:rPr>
                <w:rFonts w:eastAsia="Calibri" w:cs="Times New Roman"/>
                <w:sz w:val="22"/>
                <w:lang w:eastAsia="sr-Latn-CS"/>
              </w:rPr>
              <w:t xml:space="preserve">, 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Br</w:t>
            </w:r>
            <w:r w:rsidRPr="007C14CB">
              <w:rPr>
                <w:rFonts w:eastAsia="Calibri" w:cs="Times New Roman"/>
                <w:sz w:val="22"/>
                <w:lang w:val="ru-RU" w:eastAsia="sr-Latn-CS"/>
              </w:rPr>
              <w:t xml:space="preserve">.4, 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662-680.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highlight w:val="red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M24</w:t>
            </w:r>
          </w:p>
        </w:tc>
      </w:tr>
      <w:tr w:rsidR="001C0E39" w:rsidRPr="007C14CB" w:rsidTr="0007311F">
        <w:trPr>
          <w:trHeight w:val="482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2.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jc w:val="both"/>
              <w:rPr>
                <w:rFonts w:cs="Times New Roman"/>
                <w:bCs/>
                <w:sz w:val="22"/>
              </w:rPr>
            </w:pPr>
            <w:r w:rsidRPr="007C14CB">
              <w:rPr>
                <w:rFonts w:cs="Times New Roman"/>
                <w:bCs/>
                <w:sz w:val="22"/>
                <w:lang w:val="sr-Latn-CS"/>
              </w:rPr>
              <w:t xml:space="preserve">Milovanović, R., Budimir- Ninković, G.  (2012). </w:t>
            </w:r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>Quality of family interactions and  mental development of preschool children.</w:t>
            </w:r>
            <w:r w:rsidRPr="007C14CB">
              <w:rPr>
                <w:rFonts w:cs="Times New Roman"/>
                <w:bCs/>
                <w:sz w:val="22"/>
                <w:lang w:val="sr-Latn-CS"/>
              </w:rPr>
              <w:t xml:space="preserve"> </w:t>
            </w:r>
            <w:r w:rsidRPr="007C14CB">
              <w:rPr>
                <w:rFonts w:cs="Times New Roman"/>
                <w:bCs/>
                <w:i/>
                <w:sz w:val="22"/>
                <w:lang w:val="sr-Latn-CS"/>
              </w:rPr>
              <w:t>Healt hMED</w:t>
            </w:r>
            <w:r w:rsidRPr="007C14CB">
              <w:rPr>
                <w:rFonts w:cs="Times New Roman"/>
                <w:bCs/>
                <w:sz w:val="22"/>
                <w:lang w:val="sr-Latn-CS"/>
              </w:rPr>
              <w:t xml:space="preserve">, Vol.6.  No.10.3430-3439.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M23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3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TimesNewRomanPS-ItalicMT" w:cs="Times New Roman"/>
                <w:iCs/>
                <w:sz w:val="22"/>
                <w:highlight w:val="red"/>
                <w:lang w:eastAsia="sr-Latn-CS"/>
              </w:rPr>
            </w:pPr>
            <w:r w:rsidRPr="007C14CB">
              <w:rPr>
                <w:rFonts w:eastAsia="Calibri" w:cs="Times New Roman"/>
                <w:color w:val="000000"/>
                <w:sz w:val="22"/>
                <w:lang w:val="sr-Cyrl-CS" w:eastAsia="sr-Latn-CS"/>
              </w:rPr>
              <w:t>Миловановић,Р., Павковић, М. (2013). Повезаност породичних интеракција и развоја говора</w:t>
            </w:r>
            <w:r w:rsidRPr="007C14CB">
              <w:rPr>
                <w:rFonts w:eastAsia="Calibri" w:cs="Times New Roman"/>
                <w:i/>
                <w:color w:val="000000"/>
                <w:sz w:val="22"/>
                <w:lang w:val="sr-Cyrl-CS" w:eastAsia="sr-Latn-CS"/>
              </w:rPr>
              <w:t>. Настава и васпитање</w:t>
            </w:r>
            <w:r w:rsidRPr="007C14CB">
              <w:rPr>
                <w:rFonts w:eastAsia="Calibri" w:cs="Times New Roman"/>
                <w:color w:val="000000"/>
                <w:sz w:val="22"/>
                <w:lang w:val="sr-Cyrl-CS" w:eastAsia="sr-Latn-CS"/>
              </w:rPr>
              <w:t>,</w:t>
            </w: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 год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,LXII</w:t>
            </w:r>
            <w:r w:rsidRPr="007C14CB">
              <w:rPr>
                <w:rFonts w:eastAsia="Calibri" w:cs="Times New Roman"/>
                <w:sz w:val="22"/>
                <w:lang w:eastAsia="sr-Latn-CS"/>
              </w:rPr>
              <w:t>,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 xml:space="preserve"> Br 2</w:t>
            </w:r>
            <w:r w:rsidRPr="007C14CB">
              <w:rPr>
                <w:rFonts w:eastAsia="Calibri" w:cs="Times New Roman"/>
                <w:sz w:val="22"/>
                <w:lang w:eastAsia="sr-Latn-CS"/>
              </w:rPr>
              <w:t>,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 xml:space="preserve"> 216-234</w:t>
            </w:r>
            <w:r w:rsidRPr="007C14CB">
              <w:rPr>
                <w:rFonts w:eastAsia="Calibri" w:cs="Times New Roman"/>
                <w:sz w:val="22"/>
                <w:lang w:eastAsia="sr-Latn-CS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highlight w:val="red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M24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4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Миловановић, Р.</w:t>
            </w:r>
            <w:r w:rsidRPr="007C14CB">
              <w:rPr>
                <w:rFonts w:eastAsia="Calibri" w:cs="Times New Roman"/>
                <w:sz w:val="22"/>
                <w:lang w:val="ru-RU" w:eastAsia="sr-Latn-CS"/>
              </w:rPr>
              <w:t xml:space="preserve">  (2013). </w:t>
            </w: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Искуство усамљености у адолесценцији,</w:t>
            </w:r>
            <w:r w:rsidRPr="007C14CB">
              <w:rPr>
                <w:rFonts w:eastAsia="Calibri" w:cs="Times New Roman"/>
                <w:i/>
                <w:sz w:val="22"/>
                <w:lang w:val="sr-Cyrl-CS" w:eastAsia="sr-Latn-CS"/>
              </w:rPr>
              <w:t xml:space="preserve"> Зборник матице српске за друштвене науке, </w:t>
            </w: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Бр</w:t>
            </w:r>
            <w:r w:rsidRPr="007C14CB">
              <w:rPr>
                <w:rFonts w:eastAsia="Calibri" w:cs="Times New Roman"/>
                <w:sz w:val="22"/>
                <w:lang w:val="ru-RU" w:eastAsia="sr-Latn-CS"/>
              </w:rPr>
              <w:t xml:space="preserve"> 145 (4), </w:t>
            </w:r>
            <w:r w:rsidRPr="007C14CB">
              <w:rPr>
                <w:rFonts w:eastAsia="Calibri" w:cs="Times New Roman"/>
                <w:color w:val="000000"/>
                <w:sz w:val="22"/>
                <w:lang w:val="ru-RU" w:eastAsia="sr-Latn-CS"/>
              </w:rPr>
              <w:t>683–696.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M24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5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TimesNewRomanPS-ItalicMT" w:cs="Times New Roman"/>
                <w:i/>
                <w:iCs/>
                <w:sz w:val="22"/>
                <w:highlight w:val="red"/>
                <w:lang w:val="sr-Latn-CS" w:eastAsia="sr-Latn-CS"/>
              </w:rPr>
            </w:pPr>
            <w:r w:rsidRPr="007C14CB">
              <w:rPr>
                <w:rFonts w:eastAsia="TimesNewRomanPS-ItalicMT" w:cs="Times New Roman"/>
                <w:iCs/>
                <w:sz w:val="22"/>
                <w:lang w:val="sr-Latn-CS" w:eastAsia="sr-Latn-CS"/>
              </w:rPr>
              <w:t xml:space="preserve">Milovanović, R. , Kopas-Vukašinović, E. (2014). Percepcije kreativnosti i kreativni potencijali budućih vaspitača i učitelja. </w:t>
            </w:r>
            <w:r w:rsidRPr="007C14CB">
              <w:rPr>
                <w:rFonts w:eastAsia="TimesNewRomanPS-ItalicMT" w:cs="Times New Roman"/>
                <w:i/>
                <w:iCs/>
                <w:sz w:val="22"/>
                <w:lang w:val="sr-Latn-CS" w:eastAsia="sr-Latn-CS"/>
              </w:rPr>
              <w:t xml:space="preserve">Zbornik Instituta za pedagoška istraživanja </w:t>
            </w:r>
            <w:r w:rsidRPr="007C14CB">
              <w:rPr>
                <w:rFonts w:eastAsia="TimesNewRomanPSMT" w:cs="Times New Roman"/>
                <w:sz w:val="22"/>
                <w:lang w:val="sr-Latn-CS" w:eastAsia="sr-Latn-CS"/>
              </w:rPr>
              <w:t>God. 46, Br .1</w:t>
            </w:r>
            <w:r w:rsidRPr="007C14CB">
              <w:rPr>
                <w:rFonts w:eastAsia="TimesNewRomanPSMT" w:cs="Times New Roman"/>
                <w:sz w:val="22"/>
                <w:lang w:eastAsia="sr-Latn-CS"/>
              </w:rPr>
              <w:t>,</w:t>
            </w:r>
            <w:r w:rsidRPr="007C14CB">
              <w:rPr>
                <w:rFonts w:eastAsia="TimesNewRomanPSMT" w:cs="Times New Roman"/>
                <w:sz w:val="22"/>
                <w:lang w:val="sr-Latn-CS" w:eastAsia="sr-Latn-CS"/>
              </w:rPr>
              <w:t xml:space="preserve"> 181-199.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highlight w:val="red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M24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6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rPr>
                <w:rFonts w:cs="Times New Roman"/>
                <w:sz w:val="22"/>
              </w:rPr>
            </w:pPr>
            <w:r w:rsidRPr="007C14CB">
              <w:rPr>
                <w:rFonts w:cs="Times New Roman"/>
                <w:sz w:val="22"/>
              </w:rPr>
              <w:t xml:space="preserve">Milovanović,  R. (2015). Effectiveness of prospective lower primary and kindergarten teachers in the interpretation on facial expressions, </w:t>
            </w:r>
            <w:r w:rsidRPr="007C14CB">
              <w:rPr>
                <w:rFonts w:cs="Times New Roman"/>
                <w:i/>
                <w:sz w:val="22"/>
              </w:rPr>
              <w:t>Procedia - Social and Behavioral Sciences</w:t>
            </w:r>
            <w:r w:rsidRPr="007C14CB">
              <w:rPr>
                <w:rStyle w:val="apple-converted-space"/>
                <w:rFonts w:cs="Times New Roman"/>
                <w:color w:val="545454"/>
                <w:sz w:val="22"/>
                <w:shd w:val="clear" w:color="auto" w:fill="FFFFFF"/>
              </w:rPr>
              <w:t xml:space="preserve"> Vol. </w:t>
            </w:r>
            <w:r w:rsidRPr="007C14CB">
              <w:rPr>
                <w:rFonts w:cs="Times New Roman"/>
                <w:color w:val="545454"/>
                <w:sz w:val="22"/>
                <w:shd w:val="clear" w:color="auto" w:fill="FFFFFF"/>
              </w:rPr>
              <w:t xml:space="preserve">203 (2015) p.42–49 </w:t>
            </w:r>
            <w:r w:rsidRPr="007C14CB">
              <w:rPr>
                <w:rFonts w:cs="Times New Roman"/>
                <w:sz w:val="22"/>
                <w:lang w:val="sr-Cyrl-CS"/>
              </w:rPr>
              <w:t xml:space="preserve">; </w:t>
            </w:r>
            <w:r w:rsidRPr="007C14CB">
              <w:rPr>
                <w:rFonts w:cs="Times New Roman"/>
                <w:sz w:val="22"/>
              </w:rPr>
              <w:t>DOI:10.1016/j.sbspro.2015.08.257</w:t>
            </w:r>
            <w:r w:rsidRPr="007C14CB">
              <w:rPr>
                <w:rFonts w:cs="Times New Roman"/>
                <w:sz w:val="22"/>
                <w:lang w:val="sr-Cyrl-CS"/>
              </w:rPr>
              <w:t xml:space="preserve">     </w:t>
            </w:r>
            <w:r w:rsidRPr="007C14CB">
              <w:rPr>
                <w:rFonts w:cs="Times New Roman"/>
                <w:sz w:val="22"/>
              </w:rPr>
              <w:t>ISSN 1877-0428 (Web of Science IF 0.40)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sr-Latn-CS"/>
              </w:rPr>
            </w:pPr>
            <w:r w:rsidRPr="007C14CB">
              <w:rPr>
                <w:rFonts w:eastAsia="Calibri" w:cs="Times New Roman"/>
                <w:sz w:val="22"/>
                <w:lang w:eastAsia="sr-Latn-CS"/>
              </w:rPr>
              <w:t>M23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7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rPr>
                <w:rFonts w:eastAsia="Calibri" w:cs="Times New Roman"/>
                <w:sz w:val="22"/>
                <w:lang w:eastAsia="sr-Latn-CS"/>
              </w:rPr>
            </w:pPr>
            <w:r w:rsidRPr="007C14CB">
              <w:rPr>
                <w:rFonts w:cs="Times New Roman"/>
                <w:sz w:val="22"/>
                <w:lang w:val="sr-Cyrl-CS"/>
              </w:rPr>
              <w:t>Миловановић Р. (201</w:t>
            </w:r>
            <w:r w:rsidRPr="007C14CB">
              <w:rPr>
                <w:rFonts w:cs="Times New Roman"/>
                <w:sz w:val="22"/>
              </w:rPr>
              <w:t>6</w:t>
            </w:r>
            <w:r w:rsidRPr="007C14CB">
              <w:rPr>
                <w:rFonts w:cs="Times New Roman"/>
                <w:sz w:val="22"/>
                <w:lang w:val="sr-Cyrl-CS"/>
              </w:rPr>
              <w:t xml:space="preserve">). Успешност будућих васпитача и учитеља у перцепцији фацијалног израза </w:t>
            </w:r>
            <w:r w:rsidRPr="007C14CB">
              <w:rPr>
                <w:rFonts w:cs="Times New Roman"/>
                <w:i/>
                <w:sz w:val="22"/>
                <w:lang w:val="sr-Cyrl-CS"/>
              </w:rPr>
              <w:t>Настава и васпитање</w:t>
            </w:r>
            <w:r w:rsidRPr="007C14CB">
              <w:rPr>
                <w:rFonts w:cs="Times New Roman"/>
                <w:i/>
                <w:sz w:val="22"/>
              </w:rPr>
              <w:t xml:space="preserve"> </w:t>
            </w:r>
            <w:r w:rsidRPr="007C14CB">
              <w:rPr>
                <w:rFonts w:cs="Times New Roman"/>
                <w:sz w:val="22"/>
                <w:lang w:val="sr-Cyrl-CS"/>
              </w:rPr>
              <w:t>НВ год.</w:t>
            </w:r>
            <w:r w:rsidRPr="007C14CB">
              <w:rPr>
                <w:rFonts w:cs="Times New Roman"/>
                <w:sz w:val="22"/>
              </w:rPr>
              <w:t xml:space="preserve"> LXV 1/2016. (str. 211-225)</w:t>
            </w:r>
            <w:r w:rsidRPr="007C14CB">
              <w:rPr>
                <w:rFonts w:eastAsia="Calibri" w:cs="Times New Roman"/>
                <w:sz w:val="22"/>
                <w:lang w:eastAsia="sr-Latn-C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sr-Latn-CS"/>
              </w:rPr>
            </w:pPr>
            <w:r w:rsidRPr="007C14CB">
              <w:rPr>
                <w:rFonts w:eastAsia="Calibri" w:cs="Times New Roman"/>
                <w:sz w:val="22"/>
                <w:lang w:eastAsia="sr-Latn-CS"/>
              </w:rPr>
              <w:t>M24</w:t>
            </w:r>
          </w:p>
        </w:tc>
      </w:tr>
      <w:tr w:rsidR="001C0E39" w:rsidRPr="007C14CB" w:rsidTr="0007311F">
        <w:trPr>
          <w:trHeight w:val="516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8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cs="Times New Roman"/>
                <w:sz w:val="22"/>
              </w:rPr>
              <w:t xml:space="preserve">Stojanović, B., </w:t>
            </w:r>
            <w:r w:rsidRPr="007C14CB">
              <w:rPr>
                <w:rFonts w:cs="Times New Roman"/>
                <w:sz w:val="22"/>
                <w:u w:val="single"/>
              </w:rPr>
              <w:t>Milovanović, R.,</w:t>
            </w:r>
            <w:r w:rsidRPr="007C14CB">
              <w:rPr>
                <w:rFonts w:cs="Times New Roman"/>
                <w:sz w:val="22"/>
              </w:rPr>
              <w:t xml:space="preserve">  Ćirković-Miladinović, I.  (2016). Encouraging the Development of Cognitive Operations in Early School Age Children by Applying the System of Didactic Games. </w:t>
            </w:r>
            <w:r w:rsidRPr="007C14CB">
              <w:rPr>
                <w:rFonts w:cs="Times New Roman"/>
                <w:i/>
                <w:sz w:val="22"/>
              </w:rPr>
              <w:t xml:space="preserve"> New Educational Review.</w:t>
            </w:r>
            <w:r w:rsidRPr="007C14CB">
              <w:rPr>
                <w:rFonts w:cs="Times New Roman"/>
                <w:sz w:val="22"/>
              </w:rPr>
              <w:t xml:space="preserve"> Vol.44. No.2 (139-153).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sr-Latn-CS"/>
              </w:rPr>
            </w:pPr>
            <w:r w:rsidRPr="007C14CB">
              <w:rPr>
                <w:rFonts w:eastAsia="Calibri" w:cs="Times New Roman"/>
                <w:sz w:val="22"/>
                <w:lang w:eastAsia="sr-Latn-CS"/>
              </w:rPr>
              <w:t>M24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9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rPr>
                <w:rFonts w:eastAsia="Calibri" w:cs="Times New Roman"/>
                <w:sz w:val="22"/>
                <w:highlight w:val="red"/>
                <w:lang w:val="sr-Cyrl-CS" w:eastAsia="sr-Latn-CS"/>
              </w:rPr>
            </w:pPr>
            <w:r w:rsidRPr="007C14CB">
              <w:rPr>
                <w:rFonts w:cs="Times New Roman"/>
                <w:sz w:val="22"/>
              </w:rPr>
              <w:t xml:space="preserve">Milovanović, R.,  Marković, Z.  (2017). Assertiveness and depressive personality of student of pedagogical and medical faculty. </w:t>
            </w:r>
            <w:r w:rsidRPr="007C14CB">
              <w:rPr>
                <w:rFonts w:cs="Times New Roman"/>
                <w:i/>
                <w:sz w:val="22"/>
              </w:rPr>
              <w:t>TEME</w:t>
            </w:r>
            <w:r w:rsidRPr="007C14CB">
              <w:rPr>
                <w:rFonts w:cs="Times New Roman"/>
                <w:sz w:val="22"/>
              </w:rPr>
              <w:t xml:space="preserve"> Vol XLI No 4. (981-998)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highlight w:val="red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M24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10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</w:tcPr>
          <w:p w:rsidR="001C0E39" w:rsidRPr="007C14CB" w:rsidRDefault="001C0E39" w:rsidP="0007311F">
            <w:pPr>
              <w:rPr>
                <w:rFonts w:eastAsia="TimesNewRomanPS-ItalicMT" w:cs="Times New Roman"/>
                <w:i/>
                <w:iCs/>
                <w:sz w:val="22"/>
                <w:highlight w:val="red"/>
                <w:lang w:val="sr-Latn-CS" w:eastAsia="sr-Latn-CS"/>
              </w:rPr>
            </w:pPr>
            <w:r w:rsidRPr="007C14CB">
              <w:rPr>
                <w:rFonts w:cs="Times New Roman"/>
                <w:sz w:val="22"/>
              </w:rPr>
              <w:t xml:space="preserve">Markovic, Ž, </w:t>
            </w:r>
            <w:r w:rsidRPr="007C14CB">
              <w:rPr>
                <w:rFonts w:cs="Times New Roman"/>
                <w:sz w:val="22"/>
                <w:u w:val="single"/>
              </w:rPr>
              <w:t>Milovanovic, R.</w:t>
            </w:r>
            <w:r w:rsidRPr="007C14CB">
              <w:rPr>
                <w:rFonts w:cs="Times New Roman"/>
                <w:sz w:val="22"/>
              </w:rPr>
              <w:t xml:space="preserve"> (2017). Kompetitivnost kao factor motorickog postignuća devojčica i dečaka ranog školskog uzrasta. </w:t>
            </w:r>
            <w:r w:rsidRPr="007C14CB">
              <w:rPr>
                <w:rFonts w:cs="Times New Roman"/>
                <w:i/>
                <w:sz w:val="22"/>
              </w:rPr>
              <w:t>Pedagogija</w:t>
            </w:r>
            <w:r w:rsidRPr="007C14CB">
              <w:rPr>
                <w:rFonts w:cs="Times New Roman"/>
                <w:sz w:val="22"/>
              </w:rPr>
              <w:t xml:space="preserve">. Br 2  GOD. LXXII 2017.  (219-229)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highlight w:val="red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M51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11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</w:tcPr>
          <w:p w:rsidR="001C0E39" w:rsidRPr="00612F31" w:rsidRDefault="001C0E39" w:rsidP="0007311F">
            <w:pPr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cs="Times New Roman"/>
                <w:sz w:val="22"/>
                <w:lang w:val="en-GB"/>
              </w:rPr>
              <w:t xml:space="preserve">Milovanovic, R. (2017). Attention as a factor in the school performance of adolescents. </w:t>
            </w:r>
            <w:r w:rsidRPr="007C14CB">
              <w:rPr>
                <w:rFonts w:cs="Times New Roman"/>
                <w:i/>
                <w:sz w:val="22"/>
                <w:lang w:val="en-GB"/>
              </w:rPr>
              <w:t>Zbornik radova filozofskog fakulteta Univerziteta u Pri</w:t>
            </w:r>
            <w:r w:rsidRPr="007C14CB">
              <w:rPr>
                <w:rFonts w:cs="Times New Roman"/>
                <w:i/>
                <w:sz w:val="22"/>
              </w:rPr>
              <w:t>štini</w:t>
            </w:r>
            <w:r w:rsidRPr="007C14CB">
              <w:rPr>
                <w:rFonts w:cs="Times New Roman"/>
                <w:sz w:val="22"/>
              </w:rPr>
              <w:t xml:space="preserve">. Vol XLVII (3):275-301,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M51</w:t>
            </w:r>
          </w:p>
        </w:tc>
      </w:tr>
      <w:tr w:rsidR="001C0E39" w:rsidRPr="007C14CB" w:rsidTr="0007311F">
        <w:trPr>
          <w:trHeight w:val="227"/>
        </w:trPr>
        <w:tc>
          <w:tcPr>
            <w:tcW w:w="10980" w:type="dxa"/>
            <w:gridSpan w:val="9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b/>
                <w:sz w:val="22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1C0E39" w:rsidRPr="007C14CB" w:rsidTr="0007311F">
        <w:trPr>
          <w:trHeight w:val="227"/>
        </w:trPr>
        <w:tc>
          <w:tcPr>
            <w:tcW w:w="4929" w:type="dxa"/>
            <w:gridSpan w:val="5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605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ru-RU" w:eastAsia="sr-Latn-CS"/>
              </w:rPr>
              <w:t>1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2</w:t>
            </w:r>
          </w:p>
        </w:tc>
      </w:tr>
      <w:tr w:rsidR="001C0E39" w:rsidRPr="007C14CB" w:rsidTr="0007311F">
        <w:trPr>
          <w:trHeight w:val="227"/>
        </w:trPr>
        <w:tc>
          <w:tcPr>
            <w:tcW w:w="4929" w:type="dxa"/>
            <w:gridSpan w:val="5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605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2</w:t>
            </w:r>
          </w:p>
        </w:tc>
      </w:tr>
      <w:tr w:rsidR="001C0E39" w:rsidRPr="007C14CB" w:rsidTr="0007311F">
        <w:trPr>
          <w:trHeight w:val="227"/>
        </w:trPr>
        <w:tc>
          <w:tcPr>
            <w:tcW w:w="4929" w:type="dxa"/>
            <w:gridSpan w:val="5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Домаћи: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 xml:space="preserve"> /</w:t>
            </w:r>
          </w:p>
        </w:tc>
        <w:tc>
          <w:tcPr>
            <w:tcW w:w="3647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Међународни: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 xml:space="preserve">   1</w:t>
            </w:r>
          </w:p>
        </w:tc>
      </w:tr>
      <w:tr w:rsidR="001C0E39" w:rsidRPr="007C14CB" w:rsidTr="0007311F">
        <w:trPr>
          <w:trHeight w:val="227"/>
        </w:trPr>
        <w:tc>
          <w:tcPr>
            <w:tcW w:w="4929" w:type="dxa"/>
            <w:gridSpan w:val="5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Усавршавања </w:t>
            </w:r>
          </w:p>
        </w:tc>
        <w:tc>
          <w:tcPr>
            <w:tcW w:w="605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/</w:t>
            </w:r>
          </w:p>
        </w:tc>
      </w:tr>
      <w:tr w:rsidR="001C0E39" w:rsidRPr="007C14CB" w:rsidTr="0007311F">
        <w:trPr>
          <w:trHeight w:val="227"/>
        </w:trPr>
        <w:tc>
          <w:tcPr>
            <w:tcW w:w="10980" w:type="dxa"/>
            <w:gridSpan w:val="9"/>
            <w:vAlign w:val="center"/>
          </w:tcPr>
          <w:p w:rsidR="001C0E39" w:rsidRPr="00612F31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Други подаци које сматрате релевантним: /</w:t>
            </w:r>
            <w:r>
              <w:rPr>
                <w:rFonts w:eastAsia="Calibri" w:cs="Times New Roman"/>
                <w:sz w:val="22"/>
                <w:lang w:val="sr-Latn-CS" w:eastAsia="sr-Latn-CS"/>
              </w:rPr>
              <w:t>Sertifikat za psihoterapiju (GT)</w:t>
            </w:r>
          </w:p>
        </w:tc>
      </w:tr>
    </w:tbl>
    <w:p w:rsidR="004C04E0" w:rsidRPr="0071682C" w:rsidRDefault="004C04E0" w:rsidP="0071682C"/>
    <w:sectPr w:rsidR="004C04E0" w:rsidRPr="0071682C" w:rsidSect="0071682C">
      <w:pgSz w:w="11907" w:h="16840" w:code="9"/>
      <w:pgMar w:top="630" w:right="657" w:bottom="1440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charset w:val="80"/>
    <w:family w:val="auto"/>
    <w:pitch w:val="default"/>
    <w:sig w:usb0="00000000" w:usb1="0000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5C29AD"/>
    <w:multiLevelType w:val="hybridMultilevel"/>
    <w:tmpl w:val="2D6CF71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47342"/>
    <w:rsid w:val="00111430"/>
    <w:rsid w:val="00117D78"/>
    <w:rsid w:val="00172773"/>
    <w:rsid w:val="001C0E39"/>
    <w:rsid w:val="001E311C"/>
    <w:rsid w:val="00276D7F"/>
    <w:rsid w:val="0039769F"/>
    <w:rsid w:val="003E7C7B"/>
    <w:rsid w:val="003E7E3F"/>
    <w:rsid w:val="004606CC"/>
    <w:rsid w:val="004C04E0"/>
    <w:rsid w:val="006816AD"/>
    <w:rsid w:val="006B01FF"/>
    <w:rsid w:val="0071682C"/>
    <w:rsid w:val="00812FF6"/>
    <w:rsid w:val="00994337"/>
    <w:rsid w:val="009B7F2B"/>
    <w:rsid w:val="009E651E"/>
    <w:rsid w:val="00A30B61"/>
    <w:rsid w:val="00A87CA2"/>
    <w:rsid w:val="00AD19D1"/>
    <w:rsid w:val="00BA1E8E"/>
    <w:rsid w:val="00E0116F"/>
    <w:rsid w:val="00E10723"/>
    <w:rsid w:val="00E26978"/>
    <w:rsid w:val="00F160FC"/>
    <w:rsid w:val="00FD58EE"/>
    <w:rsid w:val="00FE2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465D4E-A2A6-46E1-954D-59C16B69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682C"/>
    <w:pPr>
      <w:widowControl w:val="0"/>
      <w:autoSpaceDE w:val="0"/>
      <w:autoSpaceDN w:val="0"/>
      <w:adjustRightInd w:val="0"/>
      <w:outlineLvl w:val="0"/>
    </w:pPr>
    <w:rPr>
      <w:rFonts w:eastAsia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812FF6"/>
    <w:rPr>
      <w:rFonts w:ascii="Consolas" w:hAnsi="Consolas"/>
      <w:sz w:val="21"/>
      <w:szCs w:val="21"/>
      <w:lang w:val="sr-Latn-C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FF6"/>
    <w:rPr>
      <w:rFonts w:ascii="Consolas" w:hAnsi="Consolas"/>
      <w:sz w:val="21"/>
      <w:szCs w:val="21"/>
      <w:lang w:val="sr-Latn-CS"/>
    </w:rPr>
  </w:style>
  <w:style w:type="character" w:customStyle="1" w:styleId="A0">
    <w:name w:val="A0"/>
    <w:uiPriority w:val="99"/>
    <w:rsid w:val="00812FF6"/>
    <w:rPr>
      <w:color w:val="000000"/>
      <w:sz w:val="20"/>
      <w:szCs w:val="20"/>
    </w:rPr>
  </w:style>
  <w:style w:type="character" w:customStyle="1" w:styleId="A1">
    <w:name w:val="A1"/>
    <w:uiPriority w:val="99"/>
    <w:rsid w:val="00A30B61"/>
    <w:rPr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A30B61"/>
    <w:pPr>
      <w:spacing w:after="200" w:line="276" w:lineRule="auto"/>
      <w:ind w:left="720"/>
      <w:contextualSpacing/>
    </w:pPr>
    <w:rPr>
      <w:rFonts w:asciiTheme="minorHAnsi" w:hAnsiTheme="minorHAnsi"/>
      <w:sz w:val="22"/>
      <w:lang w:val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71682C"/>
    <w:rPr>
      <w:rFonts w:eastAsia="Calibri" w:cs="Times New Roman"/>
      <w:lang w:val="sr-Latn-CS" w:eastAsia="sr-Latn-CS"/>
    </w:rPr>
  </w:style>
  <w:style w:type="character" w:customStyle="1" w:styleId="apple-converted-space">
    <w:name w:val="apple-converted-space"/>
    <w:basedOn w:val="DefaultParagraphFont"/>
    <w:qFormat/>
    <w:rsid w:val="001C0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550DF-D894-4A4D-AF0C-170527613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PSF</dc:creator>
  <cp:lastModifiedBy>Ivan</cp:lastModifiedBy>
  <cp:revision>12</cp:revision>
  <dcterms:created xsi:type="dcterms:W3CDTF">2015-03-22T18:08:00Z</dcterms:created>
  <dcterms:modified xsi:type="dcterms:W3CDTF">2019-10-03T07:43:00Z</dcterms:modified>
</cp:coreProperties>
</file>